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5B" w:rsidRPr="00A25172" w:rsidRDefault="008D285B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ЗАГЛАВИЕ НА ДОКЛАДА </w:t>
      </w:r>
      <w:r w:rsidR="00676F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НА БЪЛГАРСКИ ЕЗИК 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14 </w:t>
      </w:r>
      <w:proofErr w:type="spellStart"/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pt</w:t>
      </w:r>
      <w:proofErr w:type="spellEnd"/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, </w:t>
      </w:r>
      <w:r w:rsidR="009D680D"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B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old</w:t>
      </w:r>
      <w:r w:rsidR="009D680D"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,</w:t>
      </w:r>
      <w:r w:rsidR="009D680D" w:rsidRPr="00A25172">
        <w:rPr>
          <w:lang w:val="en-US"/>
        </w:rPr>
        <w:t xml:space="preserve"> </w:t>
      </w:r>
      <w:r w:rsidR="009D680D"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Centered; Capital letters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)</w:t>
      </w:r>
    </w:p>
    <w:p w:rsidR="008D285B" w:rsidRDefault="008D285B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  <w:r w:rsidRPr="00A25172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(14 </w:t>
      </w:r>
      <w:proofErr w:type="spellStart"/>
      <w:r w:rsidRPr="00A25172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pt</w:t>
      </w:r>
      <w:proofErr w:type="spellEnd"/>
      <w:r w:rsidRPr="00A25172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)</w:t>
      </w:r>
    </w:p>
    <w:p w:rsidR="008D285B" w:rsidRPr="00676FEC" w:rsidRDefault="00676FEC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Академична длъжност, научна степен, и</w:t>
      </w:r>
      <w:r w:rsidR="008D285B" w:rsidRPr="00676FE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и фамилия на автора (12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pt</w:t>
      </w:r>
      <w:proofErr w:type="spellEnd"/>
      <w:r w:rsidR="009D680D" w:rsidRPr="00676FEC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, Centered</w:t>
      </w:r>
      <w:r w:rsidR="008D285B" w:rsidRPr="00676FE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:rsidR="008D285B" w:rsidRDefault="008D285B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>Университет</w:t>
      </w:r>
      <w:r w:rsidR="0046306A">
        <w:rPr>
          <w:rFonts w:ascii="Times New Roman" w:eastAsia="Times New Roman" w:hAnsi="Times New Roman" w:cs="Times New Roman"/>
          <w:sz w:val="24"/>
          <w:szCs w:val="24"/>
          <w:lang w:eastAsia="hr-HR"/>
        </w:rPr>
        <w:t>/Организация</w:t>
      </w:r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(12 </w:t>
      </w:r>
      <w:proofErr w:type="spellStart"/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>pt</w:t>
      </w:r>
      <w:proofErr w:type="spellEnd"/>
      <w:r w:rsidR="009D680D"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D680D" w:rsidRPr="00A2517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Centered</w:t>
      </w:r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676FEC" w:rsidRPr="00676FEC" w:rsidRDefault="00676FEC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676F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(12 </w:t>
      </w:r>
      <w:proofErr w:type="spellStart"/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>pt</w:t>
      </w:r>
      <w:proofErr w:type="spellEnd"/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A2517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Centered</w:t>
      </w:r>
      <w:r w:rsidRP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D285B" w:rsidRDefault="008D285B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(1</w:t>
      </w:r>
      <w:r w:rsidRPr="008D28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</w:t>
      </w:r>
      <w:proofErr w:type="spellStart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pt</w:t>
      </w:r>
      <w:proofErr w:type="spellEnd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)</w:t>
      </w:r>
    </w:p>
    <w:p w:rsidR="008D285B" w:rsidRPr="008D285B" w:rsidRDefault="00CA7152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306A" w:rsidRPr="0046306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(12 </w:t>
      </w:r>
      <w:proofErr w:type="spellStart"/>
      <w:r w:rsidR="0046306A" w:rsidRPr="0046306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pt</w:t>
      </w:r>
      <w:proofErr w:type="spellEnd"/>
      <w:r w:rsidR="0046306A" w:rsidRPr="0046306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)</w:t>
      </w:r>
    </w:p>
    <w:p w:rsidR="008D285B" w:rsidRPr="008D285B" w:rsidRDefault="008D285B" w:rsidP="00CA715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hr-HR"/>
        </w:rPr>
      </w:pP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Резюме</w:t>
      </w:r>
      <w:r w:rsidRPr="008D28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hr-HR"/>
        </w:rPr>
        <w:t xml:space="preserve"> (</w:t>
      </w: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1</w:t>
      </w: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2</w:t>
      </w: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 xml:space="preserve"> </w:t>
      </w:r>
      <w:proofErr w:type="spellStart"/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pt</w:t>
      </w:r>
      <w:proofErr w:type="spellEnd"/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, bold</w:t>
      </w:r>
      <w:r w:rsidRPr="008D28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hr-HR"/>
        </w:rPr>
        <w:t>)</w:t>
      </w:r>
    </w:p>
    <w:p w:rsidR="008D285B" w:rsidRPr="008F24EE" w:rsidRDefault="00DC3311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>Резюмето е не повече от 10 реда (</w:t>
      </w:r>
      <w:r w:rsidR="009D680D"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12 </w:t>
      </w:r>
      <w:proofErr w:type="spellStart"/>
      <w:r w:rsidR="009D680D"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pt</w:t>
      </w:r>
      <w:proofErr w:type="spellEnd"/>
      <w:r w:rsidR="009D680D"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9D680D"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Justified, 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First li</w:t>
      </w:r>
      <w:r w:rsidR="009D680D"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ne: 12 mm</w:t>
      </w:r>
      <w:r w:rsidR="00074603"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>) и се състои от един параграф. То включва актуалност на темата, цел на разработката</w:t>
      </w:r>
      <w:r w:rsidR="008D285B"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</w:t>
      </w:r>
      <w:r w:rsidR="00074603"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методология, основни резултати, ограничения на изследването.</w:t>
      </w:r>
      <w:r w:rsidR="008D285B"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</w:p>
    <w:p w:rsidR="008D285B" w:rsidRPr="008D285B" w:rsidRDefault="009D680D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F24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Ключови думи</w:t>
      </w:r>
      <w:r w:rsidR="008F24EE" w:rsidRPr="008F24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="008F24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A5957"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Ключовите думи са </w:t>
      </w:r>
      <w:r w:rsidRPr="00A251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от 3 до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5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A5957" w:rsidRPr="008D285B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(1</w:t>
      </w:r>
      <w:r w:rsidR="003A5957"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3A5957"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="003A5957"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pt</w:t>
      </w:r>
      <w:proofErr w:type="spellEnd"/>
      <w:r w:rsidR="003A5957"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, </w:t>
      </w:r>
      <w:r w:rsidR="003A5957" w:rsidRPr="00A25172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Normal</w:t>
      </w:r>
      <w:r w:rsidR="003A5957"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3A5957"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Justified</w:t>
      </w:r>
      <w:r w:rsidR="003A5957" w:rsidRPr="008D285B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)</w:t>
      </w:r>
    </w:p>
    <w:p w:rsidR="003A5957" w:rsidRDefault="008D285B" w:rsidP="000910A9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(1</w:t>
      </w:r>
      <w:r w:rsidR="003A5957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2</w:t>
      </w:r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proofErr w:type="spellStart"/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pt</w:t>
      </w:r>
      <w:proofErr w:type="spellEnd"/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)</w:t>
      </w:r>
    </w:p>
    <w:p w:rsidR="00676FEC" w:rsidRPr="00A25172" w:rsidRDefault="00676FEC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676F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TITLE OF THE PAPER IN ENGLISH 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14 </w:t>
      </w:r>
      <w:proofErr w:type="spellStart"/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pt</w:t>
      </w:r>
      <w:proofErr w:type="spellEnd"/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, Bold,</w:t>
      </w:r>
      <w:r w:rsidRPr="00A25172">
        <w:rPr>
          <w:lang w:val="en-US"/>
        </w:rPr>
        <w:t xml:space="preserve"> </w:t>
      </w:r>
      <w:r w:rsidRPr="00A251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Centered; Capital letters)</w:t>
      </w:r>
    </w:p>
    <w:p w:rsidR="00676FEC" w:rsidRDefault="00676FEC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  <w:r w:rsidRPr="00A25172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(14 </w:t>
      </w:r>
      <w:proofErr w:type="spellStart"/>
      <w:r w:rsidRPr="00A25172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pt</w:t>
      </w:r>
      <w:proofErr w:type="spellEnd"/>
      <w:r w:rsidRPr="00A25172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)</w:t>
      </w:r>
    </w:p>
    <w:p w:rsidR="00786006" w:rsidRDefault="00786006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006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Academic position, scientific degree, author's name and surname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(12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pt</w:t>
      </w:r>
      <w:proofErr w:type="spellEnd"/>
      <w:r w:rsidRPr="00676FEC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, Centered</w:t>
      </w:r>
      <w:r w:rsidRPr="00676FE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:rsidR="00786006" w:rsidRPr="00786006" w:rsidRDefault="00786006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  <w:r w:rsidRPr="00786006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University/Organization (12 </w:t>
      </w:r>
      <w:proofErr w:type="spellStart"/>
      <w:r w:rsidRPr="00786006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pt</w:t>
      </w:r>
      <w:proofErr w:type="spellEnd"/>
      <w:r w:rsidRPr="00786006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, Centered)</w:t>
      </w:r>
    </w:p>
    <w:p w:rsidR="00786006" w:rsidRPr="00786006" w:rsidRDefault="00786006" w:rsidP="00091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  <w:r w:rsidRPr="00786006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e-mail: (12 </w:t>
      </w:r>
      <w:proofErr w:type="spellStart"/>
      <w:r w:rsidRPr="00786006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pt</w:t>
      </w:r>
      <w:proofErr w:type="spellEnd"/>
      <w:r w:rsidRPr="00786006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, Centered)</w:t>
      </w:r>
    </w:p>
    <w:p w:rsidR="00676FEC" w:rsidRDefault="00786006" w:rsidP="000910A9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(1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2</w:t>
      </w:r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proofErr w:type="spellStart"/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pt</w:t>
      </w:r>
      <w:proofErr w:type="spellEnd"/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)</w:t>
      </w:r>
    </w:p>
    <w:p w:rsidR="00390FF0" w:rsidRPr="008D285B" w:rsidRDefault="00390FF0" w:rsidP="00CA715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hr-HR"/>
        </w:rPr>
      </w:pP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r-HR"/>
        </w:rPr>
        <w:t>Abstract</w:t>
      </w:r>
      <w:r w:rsidRPr="008D28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hr-HR"/>
        </w:rPr>
        <w:t xml:space="preserve"> </w:t>
      </w: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(1</w:t>
      </w: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2</w:t>
      </w:r>
      <w:r w:rsid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 xml:space="preserve"> </w:t>
      </w:r>
      <w:proofErr w:type="spellStart"/>
      <w:r w:rsid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pt</w:t>
      </w:r>
      <w:proofErr w:type="spellEnd"/>
      <w:r w:rsid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, bold</w:t>
      </w:r>
      <w:r w:rsidRPr="008F24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)</w:t>
      </w:r>
    </w:p>
    <w:p w:rsidR="00390FF0" w:rsidRPr="008F24EE" w:rsidRDefault="00390FF0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The abstract should not be longer than 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 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lines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12 </w:t>
      </w:r>
      <w:proofErr w:type="spellStart"/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pt</w:t>
      </w:r>
      <w:proofErr w:type="spellEnd"/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Justified, </w:t>
      </w:r>
      <w:proofErr w:type="gramStart"/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First</w:t>
      </w:r>
      <w:proofErr w:type="gramEnd"/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line: 12 mm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and is constituted of one paragraph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It includes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topicality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838C1"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 goal of the paper</w:t>
      </w:r>
      <w:r w:rsidRPr="008F24E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38C1"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methodology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838C1"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main results</w:t>
      </w:r>
      <w:r w:rsidRPr="008F24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838C1" w:rsidRPr="008F24E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research limitation.</w:t>
      </w:r>
    </w:p>
    <w:p w:rsidR="00390FF0" w:rsidRPr="008D285B" w:rsidRDefault="00390FF0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F24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Key words</w:t>
      </w:r>
      <w:r w:rsidR="008F24EE" w:rsidRPr="008F24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Pr="008F24EE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The key words are from</w:t>
      </w:r>
      <w:r w:rsidRPr="00A251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3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to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5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8D285B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(1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pt</w:t>
      </w:r>
      <w:proofErr w:type="spellEnd"/>
      <w:r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, </w:t>
      </w:r>
      <w:r w:rsidRPr="00A25172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Normal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3A5957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Justified</w:t>
      </w:r>
      <w:r w:rsidRPr="008D285B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)</w:t>
      </w:r>
    </w:p>
    <w:p w:rsidR="00390FF0" w:rsidRDefault="008423CC" w:rsidP="008423C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                                                                          </w:t>
      </w:r>
      <w:r w:rsidR="00390FF0"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(1</w:t>
      </w:r>
      <w:r w:rsidR="00390FF0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2</w:t>
      </w:r>
      <w:r w:rsidR="00390FF0"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proofErr w:type="spellStart"/>
      <w:r w:rsidR="00390FF0"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pt</w:t>
      </w:r>
      <w:proofErr w:type="spellEnd"/>
      <w:r w:rsidR="00390FF0"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)</w:t>
      </w:r>
    </w:p>
    <w:p w:rsidR="008D285B" w:rsidRDefault="003A5957" w:rsidP="00B5696F">
      <w:pPr>
        <w:spacing w:before="120" w:after="0" w:line="240" w:lineRule="auto"/>
        <w:ind w:left="1134" w:firstLine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</w:pPr>
      <w:r w:rsidRPr="003A5957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Увод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C60A4D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(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1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2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 xml:space="preserve"> </w:t>
      </w:r>
      <w:proofErr w:type="spellStart"/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pt</w:t>
      </w:r>
      <w:proofErr w:type="spellEnd"/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 xml:space="preserve">, 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r-HR"/>
        </w:rPr>
        <w:t>Bold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,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 xml:space="preserve"> </w:t>
      </w:r>
      <w:r w:rsidR="00B5696F" w:rsidRPr="00B569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Centered</w:t>
      </w:r>
      <w:r w:rsidRPr="00C60A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hr-HR"/>
        </w:rPr>
        <w:t>)</w:t>
      </w:r>
    </w:p>
    <w:p w:rsidR="00B5696F" w:rsidRPr="00B5696F" w:rsidRDefault="00B5696F" w:rsidP="00B569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                                                                          </w:t>
      </w:r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(1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2</w:t>
      </w:r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proofErr w:type="spellStart"/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pt</w:t>
      </w:r>
      <w:proofErr w:type="spellEnd"/>
      <w:r w:rsidRPr="008D285B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)</w:t>
      </w:r>
    </w:p>
    <w:p w:rsidR="008D285B" w:rsidRPr="008D285B" w:rsidRDefault="009E3F42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Уводът 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92369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(12 </w:t>
      </w:r>
      <w:proofErr w:type="spellStart"/>
      <w:r w:rsidR="0092369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pt</w:t>
      </w:r>
      <w:proofErr w:type="spellEnd"/>
      <w:r w:rsidR="0092369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</w:t>
      </w:r>
      <w:r w:rsidR="0092369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Normal</w:t>
      </w:r>
      <w:r w:rsidRPr="009E3F4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 Justified, First line: 12 mm)</w:t>
      </w:r>
      <w:r w:rsidR="0092369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9236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представя актуалността и значимостта на </w:t>
      </w:r>
      <w:r w:rsidR="00AE7783">
        <w:rPr>
          <w:rFonts w:ascii="Times New Roman" w:eastAsia="Times New Roman" w:hAnsi="Times New Roman" w:cs="Times New Roman"/>
          <w:sz w:val="24"/>
          <w:szCs w:val="24"/>
          <w:lang w:eastAsia="hr-HR"/>
        </w:rPr>
        <w:t>темата</w:t>
      </w:r>
      <w:r w:rsidR="00C60A4D">
        <w:rPr>
          <w:rFonts w:ascii="Times New Roman" w:eastAsia="Times New Roman" w:hAnsi="Times New Roman" w:cs="Times New Roman"/>
          <w:sz w:val="24"/>
          <w:szCs w:val="24"/>
          <w:lang w:eastAsia="hr-HR"/>
        </w:rPr>
        <w:t>, както и</w:t>
      </w:r>
      <w:r w:rsidR="009236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целта, която си поставяте</w:t>
      </w:r>
      <w:r w:rsidR="00C60A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с разработване</w:t>
      </w:r>
      <w:r w:rsidR="00AE7783">
        <w:rPr>
          <w:rFonts w:ascii="Times New Roman" w:eastAsia="Times New Roman" w:hAnsi="Times New Roman" w:cs="Times New Roman"/>
          <w:sz w:val="24"/>
          <w:szCs w:val="24"/>
          <w:lang w:eastAsia="hr-HR"/>
        </w:rPr>
        <w:t>то на доклада</w:t>
      </w:r>
      <w:r w:rsidR="009236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50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D285B" w:rsidRPr="008D285B" w:rsidRDefault="008D285B" w:rsidP="00CA7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(1</w:t>
      </w:r>
      <w:r w:rsidR="003A595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pt)</w:t>
      </w:r>
    </w:p>
    <w:p w:rsidR="008D285B" w:rsidRDefault="003A5957" w:rsidP="00B5696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1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. </w:t>
      </w:r>
      <w:r w:rsidR="00C60A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Подзаглавие от първо ниво </w:t>
      </w:r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(12 pt, Bold, </w:t>
      </w:r>
      <w:r w:rsidR="00B5696F" w:rsidRPr="00B569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Centered</w:t>
      </w:r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)</w:t>
      </w:r>
    </w:p>
    <w:p w:rsidR="00391FDA" w:rsidRPr="008D285B" w:rsidRDefault="00391FDA" w:rsidP="00CA7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(1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pt)</w:t>
      </w:r>
      <w:bookmarkStart w:id="0" w:name="_GoBack"/>
      <w:bookmarkEnd w:id="0"/>
    </w:p>
    <w:p w:rsidR="008D285B" w:rsidRDefault="003A5957" w:rsidP="00B5696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1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.1. </w:t>
      </w:r>
      <w:proofErr w:type="spellStart"/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Подзаглавие</w:t>
      </w:r>
      <w:proofErr w:type="spellEnd"/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proofErr w:type="spellStart"/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от</w:t>
      </w:r>
      <w:proofErr w:type="spellEnd"/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r w:rsidR="00C60A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второ</w:t>
      </w:r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proofErr w:type="spellStart"/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ниво</w:t>
      </w:r>
      <w:proofErr w:type="spellEnd"/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(12 </w:t>
      </w:r>
      <w:proofErr w:type="spellStart"/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pt</w:t>
      </w:r>
      <w:proofErr w:type="spellEnd"/>
      <w:r w:rsidR="00C60A4D" w:rsidRPr="00C60A4D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, Bold, </w:t>
      </w:r>
      <w:r w:rsidR="00B5696F" w:rsidRPr="00B569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Centered</w:t>
      </w:r>
      <w:r w:rsidR="00C60A4D" w:rsidRPr="00B5696F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)</w:t>
      </w:r>
    </w:p>
    <w:p w:rsidR="00391FDA" w:rsidRPr="00391FDA" w:rsidRDefault="00391FDA" w:rsidP="00CA7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(1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pt)</w:t>
      </w:r>
    </w:p>
    <w:p w:rsidR="00B5696F" w:rsidRDefault="002F52E9" w:rsidP="00B569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Максималният обем на доклада е </w:t>
      </w:r>
      <w:r w:rsidRPr="00CA71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 страници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60A4D">
        <w:rPr>
          <w:rFonts w:ascii="Times New Roman" w:eastAsia="Times New Roman" w:hAnsi="Times New Roman" w:cs="Times New Roman"/>
          <w:sz w:val="24"/>
          <w:szCs w:val="24"/>
          <w:lang w:eastAsia="hr-HR"/>
        </w:rPr>
        <w:t>При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цитиране в текста</w:t>
      </w:r>
      <w:r w:rsidR="005B68D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5B68D4">
        <w:rPr>
          <w:rFonts w:ascii="Times New Roman" w:eastAsia="Times New Roman" w:hAnsi="Times New Roman" w:cs="Times New Roman"/>
          <w:sz w:val="24"/>
          <w:szCs w:val="24"/>
          <w:lang w:eastAsia="hr-HR"/>
        </w:rPr>
        <w:t>моля,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използвайте Х</w:t>
      </w:r>
      <w:r w:rsidR="00C60A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арвардския 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реферативен </w:t>
      </w:r>
      <w:r w:rsidR="00C60A4D">
        <w:rPr>
          <w:rFonts w:ascii="Times New Roman" w:eastAsia="Times New Roman" w:hAnsi="Times New Roman" w:cs="Times New Roman"/>
          <w:sz w:val="24"/>
          <w:szCs w:val="24"/>
          <w:lang w:eastAsia="hr-HR"/>
        </w:rPr>
        <w:t>стил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5880" w:rsidRP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(12 </w:t>
      </w:r>
      <w:proofErr w:type="spellStart"/>
      <w:r w:rsidR="002B5880" w:rsidRP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pt</w:t>
      </w:r>
      <w:proofErr w:type="spellEnd"/>
      <w:r w:rsidR="002B5880" w:rsidRP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2B5880" w:rsidRP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Normal</w:t>
      </w:r>
      <w:proofErr w:type="spellEnd"/>
      <w:r w:rsidR="002B5880" w:rsidRP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Justified</w:t>
      </w:r>
      <w:proofErr w:type="spellEnd"/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First</w:t>
      </w:r>
      <w:proofErr w:type="spellEnd"/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line</w:t>
      </w:r>
      <w:proofErr w:type="spellEnd"/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: 12 mm)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В скоби се поставят фамилията на автора, годината на публикуване и страницата 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Иванов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2014</w:t>
      </w:r>
      <w:r w:rsidR="002B588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с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..)</w:t>
      </w:r>
      <w:r w:rsidR="00A2517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>П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ри чуждестранен автор - </w:t>
      </w:r>
      <w:r w:rsidR="002B5880" w:rsidRP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 w:rsidR="002B5880" w:rsidRP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Вlackstone</w:t>
      </w:r>
      <w:proofErr w:type="spellEnd"/>
      <w:r w:rsidR="002B5880" w:rsidRP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, 2013, р. 115)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При двама автори техните фамилии се свързват с 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“&amp;” (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Иванов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&amp; 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Павлов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година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с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…)</w:t>
      </w:r>
      <w:r w:rsidR="002B588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или </w:t>
      </w:r>
      <w:r w:rsid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Rosenzweig</w:t>
      </w:r>
      <w:proofErr w:type="spellEnd"/>
      <w:r w:rsidR="00133BE6" w:rsidRP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3BE6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&amp;</w:t>
      </w:r>
      <w:r w:rsidR="00133BE6" w:rsidRP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Roth</w:t>
      </w:r>
      <w:proofErr w:type="spellEnd"/>
      <w:r w:rsidR="002B571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  <w:r w:rsidR="00133BE6" w:rsidRP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2004</w:t>
      </w:r>
      <w:r w:rsid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r w:rsidR="002B5880">
        <w:rPr>
          <w:rFonts w:ascii="Times New Roman" w:eastAsia="Times New Roman" w:hAnsi="Times New Roman" w:cs="Times New Roman"/>
          <w:sz w:val="24"/>
          <w:szCs w:val="24"/>
          <w:lang w:eastAsia="hr-HR"/>
        </w:rPr>
        <w:t>При трима или повече автори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се пише фамилията на първия автор и се добавя „и кол.“ или 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“et al” </w:t>
      </w:r>
      <w:r w:rsid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Димитров</w:t>
      </w:r>
      <w:proofErr w:type="spellEnd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и 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кол</w:t>
      </w:r>
      <w:proofErr w:type="spellEnd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., 2010, с. 186)</w:t>
      </w:r>
      <w:r w:rsid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или (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Tan</w:t>
      </w:r>
      <w:proofErr w:type="spellEnd"/>
      <w:r w:rsidR="00133BE6" w:rsidRP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et</w:t>
      </w:r>
      <w:proofErr w:type="spellEnd"/>
      <w:r w:rsidR="00133BE6" w:rsidRP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al</w:t>
      </w:r>
      <w:proofErr w:type="spellEnd"/>
      <w:r w:rsidR="00133BE6" w:rsidRP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., 2004</w:t>
      </w:r>
      <w:r w:rsid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, р…)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r w:rsid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При необходимост да се доуточни даден текст, това може да</w:t>
      </w:r>
      <w:r w:rsidR="005B68D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се направи п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од</w:t>
      </w:r>
      <w:proofErr w:type="spellEnd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линия</w:t>
      </w:r>
      <w:proofErr w:type="spellEnd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(Footnote), 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по</w:t>
      </w:r>
      <w:proofErr w:type="spellEnd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стандарт</w:t>
      </w:r>
      <w:proofErr w:type="spellEnd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с 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номера</w:t>
      </w:r>
      <w:proofErr w:type="spellEnd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от</w:t>
      </w:r>
      <w:proofErr w:type="spellEnd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1 </w:t>
      </w:r>
      <w:proofErr w:type="spellStart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до</w:t>
      </w:r>
      <w:proofErr w:type="spellEnd"/>
      <w:r w:rsidR="00133BE6" w:rsidRPr="00133BE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n.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footnoteReference w:id="1"/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</w:p>
    <w:p w:rsidR="008D285B" w:rsidRPr="008D285B" w:rsidRDefault="00B5696F" w:rsidP="00B5696F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                                                   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</w:t>
      </w:r>
      <w:r w:rsidR="00C60A4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pt</w:t>
      </w:r>
      <w:proofErr w:type="spellEnd"/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)</w:t>
      </w:r>
    </w:p>
    <w:p w:rsidR="008D285B" w:rsidRPr="008D285B" w:rsidRDefault="003A5957" w:rsidP="00B5696F">
      <w:pPr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1</w:t>
      </w:r>
      <w:r w:rsidR="008D285B" w:rsidRPr="008D285B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 xml:space="preserve">.1.1. </w:t>
      </w:r>
      <w:r w:rsidR="00C60A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Подзаглавие от трето ниво</w:t>
      </w:r>
      <w:r w:rsidR="008D285B" w:rsidRPr="008D285B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 xml:space="preserve"> (1</w:t>
      </w:r>
      <w:r w:rsidR="00C60A4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</w:t>
      </w:r>
      <w:r w:rsidR="008D285B" w:rsidRPr="008D285B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 xml:space="preserve"> </w:t>
      </w:r>
      <w:proofErr w:type="spellStart"/>
      <w:r w:rsidR="008D285B" w:rsidRPr="008D285B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pt</w:t>
      </w:r>
      <w:proofErr w:type="spellEnd"/>
      <w:r w:rsidR="008D285B" w:rsidRPr="008D285B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 xml:space="preserve">, Italic, </w:t>
      </w:r>
      <w:r w:rsidR="00B5696F" w:rsidRPr="00B5696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hr-HR"/>
        </w:rPr>
        <w:t>Centered</w:t>
      </w:r>
      <w:r w:rsidR="008D285B" w:rsidRPr="008D285B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)</w:t>
      </w:r>
    </w:p>
    <w:p w:rsidR="00366CC8" w:rsidRPr="00366CC8" w:rsidRDefault="00133BE6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Фигурите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графики, диаграми, рисунки, снимки)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 таблиците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не са цветни. Те представляват част от текста и не трябва да надвишават ограниченията на полетата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r w:rsidR="00366CC8" w:rsidRPr="00366C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Номерира</w:t>
      </w:r>
      <w:proofErr w:type="spellEnd"/>
      <w:r w:rsid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т се </w:t>
      </w:r>
      <w:r w:rsidR="00366C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с </w:t>
      </w:r>
      <w:proofErr w:type="spellStart"/>
      <w:r w:rsidR="00366C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арабски</w:t>
      </w:r>
      <w:proofErr w:type="spellEnd"/>
      <w:r w:rsidR="00366C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66C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цифри</w:t>
      </w:r>
      <w:proofErr w:type="spellEnd"/>
      <w:r w:rsidR="00514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и се центрират</w:t>
      </w:r>
      <w:r w:rsid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Наименованието на фигурите е под тях, следвано от </w:t>
      </w:r>
      <w:r w:rsid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подробно изписване на източника, а на таблиците - над тях, като източникът се описва под таблицата. Необходимо е в текста да се позовете на всяка фигура или таблица (Фигура 1)</w:t>
      </w:r>
    </w:p>
    <w:p w:rsidR="008D285B" w:rsidRPr="008D285B" w:rsidRDefault="008D285B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(1</w:t>
      </w:r>
      <w:r w:rsidR="00133BE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pt)</w:t>
      </w:r>
    </w:p>
    <w:p w:rsidR="008D285B" w:rsidRPr="008D285B" w:rsidRDefault="00366CC8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366CC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F130ABE" wp14:editId="088FEB33">
            <wp:extent cx="4680585" cy="608801"/>
            <wp:effectExtent l="0" t="0" r="5715" b="1270"/>
            <wp:docPr id="2" name="Picture 2" descr="UN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60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CC8" w:rsidRDefault="00366CC8" w:rsidP="00B56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Фигура</w:t>
      </w:r>
      <w:r w:rsidRPr="00366C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1.</w:t>
      </w:r>
      <w:r w:rsidRP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Наименование на фигурата</w:t>
      </w:r>
      <w:r w:rsidRP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5696F" w:rsidRPr="00786006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Centered</w:t>
      </w:r>
      <w:r w:rsidRP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D285B" w:rsidRPr="00366CC8" w:rsidRDefault="00366CC8" w:rsidP="00391FDA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  <w:r w:rsidRPr="00366CC8">
        <w:rPr>
          <w:rFonts w:ascii="Times New Roman" w:eastAsia="Times New Roman" w:hAnsi="Times New Roman" w:cs="Times New Roman"/>
          <w:lang w:eastAsia="hr-HR"/>
        </w:rPr>
        <w:t>Източник</w:t>
      </w:r>
      <w:r w:rsidR="008D285B" w:rsidRPr="00366CC8">
        <w:rPr>
          <w:rFonts w:ascii="Times New Roman" w:eastAsia="Times New Roman" w:hAnsi="Times New Roman" w:cs="Times New Roman"/>
          <w:lang w:val="en-GB" w:eastAsia="hr-HR"/>
        </w:rPr>
        <w:t>: (</w:t>
      </w:r>
      <w:r w:rsidRPr="00366CC8">
        <w:rPr>
          <w:rFonts w:ascii="Times New Roman" w:eastAsia="Times New Roman" w:hAnsi="Times New Roman" w:cs="Times New Roman"/>
          <w:lang w:val="en-GB" w:eastAsia="hr-HR"/>
        </w:rPr>
        <w:t xml:space="preserve">11 </w:t>
      </w:r>
      <w:proofErr w:type="spellStart"/>
      <w:r w:rsidRPr="00366CC8">
        <w:rPr>
          <w:rFonts w:ascii="Times New Roman" w:eastAsia="Times New Roman" w:hAnsi="Times New Roman" w:cs="Times New Roman"/>
          <w:lang w:val="en-GB" w:eastAsia="hr-HR"/>
        </w:rPr>
        <w:t>pt</w:t>
      </w:r>
      <w:proofErr w:type="spellEnd"/>
      <w:r w:rsidRPr="00366CC8">
        <w:rPr>
          <w:rFonts w:ascii="Times New Roman" w:eastAsia="Times New Roman" w:hAnsi="Times New Roman" w:cs="Times New Roman"/>
          <w:lang w:val="en-GB" w:eastAsia="hr-HR"/>
        </w:rPr>
        <w:t>, L</w:t>
      </w:r>
      <w:r w:rsidR="008D285B" w:rsidRPr="00366CC8">
        <w:rPr>
          <w:rFonts w:ascii="Times New Roman" w:eastAsia="Times New Roman" w:hAnsi="Times New Roman" w:cs="Times New Roman"/>
          <w:lang w:val="en-GB" w:eastAsia="hr-HR"/>
        </w:rPr>
        <w:t>eft  alignment)</w:t>
      </w:r>
    </w:p>
    <w:p w:rsidR="008D285B" w:rsidRDefault="008D285B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</w:t>
      </w:r>
      <w:r w:rsidR="00366CC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pt</w:t>
      </w:r>
      <w:proofErr w:type="spellEnd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)</w:t>
      </w:r>
    </w:p>
    <w:p w:rsidR="008D285B" w:rsidRPr="008D285B" w:rsidRDefault="005146DB" w:rsidP="0039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Таблица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1.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Наименование на таблицата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(1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pt</w:t>
      </w:r>
      <w:proofErr w:type="spellEnd"/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L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eft alignment)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3827"/>
        <w:gridCol w:w="2552"/>
      </w:tblGrid>
      <w:tr w:rsidR="008D285B" w:rsidRPr="008D285B" w:rsidTr="00340041">
        <w:trPr>
          <w:trHeight w:hRule="exact" w:val="393"/>
        </w:trPr>
        <w:tc>
          <w:tcPr>
            <w:tcW w:w="2693" w:type="dxa"/>
            <w:shd w:val="clear" w:color="auto" w:fill="auto"/>
          </w:tcPr>
          <w:p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3827" w:type="dxa"/>
            <w:shd w:val="clear" w:color="auto" w:fill="auto"/>
          </w:tcPr>
          <w:p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2552" w:type="dxa"/>
            <w:shd w:val="clear" w:color="auto" w:fill="auto"/>
          </w:tcPr>
          <w:p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</w:tr>
      <w:tr w:rsidR="008D285B" w:rsidRPr="008D285B" w:rsidTr="00340041">
        <w:trPr>
          <w:trHeight w:hRule="exact" w:val="393"/>
        </w:trPr>
        <w:tc>
          <w:tcPr>
            <w:tcW w:w="2693" w:type="dxa"/>
            <w:shd w:val="clear" w:color="auto" w:fill="auto"/>
          </w:tcPr>
          <w:p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3827" w:type="dxa"/>
            <w:shd w:val="clear" w:color="auto" w:fill="auto"/>
          </w:tcPr>
          <w:p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2552" w:type="dxa"/>
            <w:shd w:val="clear" w:color="auto" w:fill="auto"/>
          </w:tcPr>
          <w:p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</w:tr>
      <w:tr w:rsidR="008D285B" w:rsidRPr="008D285B" w:rsidTr="00340041">
        <w:trPr>
          <w:trHeight w:hRule="exact" w:val="393"/>
        </w:trPr>
        <w:tc>
          <w:tcPr>
            <w:tcW w:w="2693" w:type="dxa"/>
            <w:shd w:val="clear" w:color="auto" w:fill="auto"/>
          </w:tcPr>
          <w:p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3827" w:type="dxa"/>
            <w:shd w:val="clear" w:color="auto" w:fill="auto"/>
          </w:tcPr>
          <w:p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2552" w:type="dxa"/>
            <w:shd w:val="clear" w:color="auto" w:fill="auto"/>
          </w:tcPr>
          <w:p w:rsidR="008D285B" w:rsidRPr="008D285B" w:rsidRDefault="008D285B" w:rsidP="0039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</w:tr>
    </w:tbl>
    <w:p w:rsidR="008D285B" w:rsidRPr="005146DB" w:rsidRDefault="005146DB" w:rsidP="00391FDA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  <w:r w:rsidRPr="005146DB">
        <w:rPr>
          <w:rFonts w:ascii="Times New Roman" w:eastAsia="Times New Roman" w:hAnsi="Times New Roman" w:cs="Times New Roman"/>
          <w:lang w:eastAsia="hr-HR"/>
        </w:rPr>
        <w:t>Източник</w:t>
      </w:r>
      <w:r w:rsidR="008D285B" w:rsidRPr="005146DB">
        <w:rPr>
          <w:rFonts w:ascii="Times New Roman" w:eastAsia="Times New Roman" w:hAnsi="Times New Roman" w:cs="Times New Roman"/>
          <w:lang w:val="en-GB" w:eastAsia="hr-HR"/>
        </w:rPr>
        <w:t>: (</w:t>
      </w:r>
      <w:r w:rsidRPr="005146DB">
        <w:rPr>
          <w:rFonts w:ascii="Times New Roman" w:eastAsia="Times New Roman" w:hAnsi="Times New Roman" w:cs="Times New Roman"/>
          <w:lang w:eastAsia="hr-HR"/>
        </w:rPr>
        <w:t>11</w:t>
      </w:r>
      <w:r w:rsidRPr="005146DB">
        <w:rPr>
          <w:rFonts w:ascii="Times New Roman" w:eastAsia="Times New Roman" w:hAnsi="Times New Roman" w:cs="Times New Roman"/>
          <w:lang w:val="en-GB" w:eastAsia="hr-HR"/>
        </w:rPr>
        <w:t xml:space="preserve"> </w:t>
      </w:r>
      <w:proofErr w:type="spellStart"/>
      <w:r w:rsidRPr="005146DB">
        <w:rPr>
          <w:rFonts w:ascii="Times New Roman" w:eastAsia="Times New Roman" w:hAnsi="Times New Roman" w:cs="Times New Roman"/>
          <w:lang w:val="en-GB" w:eastAsia="hr-HR"/>
        </w:rPr>
        <w:t>pt</w:t>
      </w:r>
      <w:proofErr w:type="spellEnd"/>
      <w:r w:rsidRPr="005146DB">
        <w:rPr>
          <w:rFonts w:ascii="Times New Roman" w:eastAsia="Times New Roman" w:hAnsi="Times New Roman" w:cs="Times New Roman"/>
          <w:lang w:val="en-GB" w:eastAsia="hr-HR"/>
        </w:rPr>
        <w:t xml:space="preserve">, </w:t>
      </w:r>
      <w:r w:rsidRPr="005146DB">
        <w:rPr>
          <w:rFonts w:ascii="Times New Roman" w:eastAsia="Times New Roman" w:hAnsi="Times New Roman" w:cs="Times New Roman"/>
          <w:lang w:val="en-US" w:eastAsia="hr-HR"/>
        </w:rPr>
        <w:t>L</w:t>
      </w:r>
      <w:r w:rsidR="008D285B" w:rsidRPr="005146DB">
        <w:rPr>
          <w:rFonts w:ascii="Times New Roman" w:eastAsia="Times New Roman" w:hAnsi="Times New Roman" w:cs="Times New Roman"/>
          <w:lang w:val="en-GB" w:eastAsia="hr-HR"/>
        </w:rPr>
        <w:t>eft alignment)</w:t>
      </w:r>
    </w:p>
    <w:p w:rsidR="008D285B" w:rsidRPr="008D285B" w:rsidRDefault="008D285B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</w:t>
      </w:r>
      <w:r w:rsidR="005146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pt</w:t>
      </w:r>
      <w:proofErr w:type="spellEnd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)</w:t>
      </w:r>
    </w:p>
    <w:p w:rsidR="00E636B6" w:rsidRDefault="00E636B6" w:rsidP="00391FD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Формули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те се</w:t>
      </w:r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ц</w:t>
      </w:r>
      <w:proofErr w:type="spellStart"/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ентрира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 </w:t>
      </w:r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и </w:t>
      </w:r>
      <w:proofErr w:type="spellStart"/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номерира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отдясно</w:t>
      </w:r>
      <w:proofErr w:type="spellEnd"/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арабски</w:t>
      </w:r>
      <w:proofErr w:type="spellEnd"/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цифри</w:t>
      </w:r>
      <w:proofErr w:type="spellEnd"/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в </w:t>
      </w:r>
      <w:proofErr w:type="spellStart"/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малки</w:t>
      </w:r>
      <w:proofErr w:type="spellEnd"/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скоби</w:t>
      </w:r>
      <w:proofErr w:type="spellEnd"/>
      <w:r w:rsidRPr="00E636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:rsidR="00E636B6" w:rsidRPr="00E636B6" w:rsidRDefault="00E636B6" w:rsidP="00391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36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(12 </w:t>
      </w:r>
      <w:proofErr w:type="spellStart"/>
      <w:r w:rsidRPr="00E636B6">
        <w:rPr>
          <w:rFonts w:ascii="Times New Roman" w:eastAsia="Calibri" w:hAnsi="Times New Roman" w:cs="Times New Roman"/>
          <w:color w:val="000000"/>
          <w:sz w:val="24"/>
          <w:szCs w:val="24"/>
        </w:rPr>
        <w:t>pt</w:t>
      </w:r>
      <w:proofErr w:type="spellEnd"/>
      <w:r w:rsidRPr="00E636B6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E636B6" w:rsidRPr="00E636B6" w:rsidRDefault="00E636B6" w:rsidP="00391FDA">
      <w:pPr>
        <w:tabs>
          <w:tab w:val="left" w:pos="540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73545"/>
          <w:sz w:val="24"/>
          <w:szCs w:val="18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Ресурси=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  <w:r w:rsidRPr="00E636B6"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18"/>
        </w:rPr>
        <w:t>(</w:t>
      </w:r>
      <w:r w:rsidRPr="00E636B6">
        <w:rPr>
          <w:rFonts w:ascii="Times New Roman" w:eastAsia="Times New Roman" w:hAnsi="Times New Roman" w:cs="Times New Roman"/>
          <w:iCs/>
          <w:sz w:val="24"/>
          <w:szCs w:val="18"/>
          <w:lang w:val="en-US"/>
        </w:rPr>
        <w:fldChar w:fldCharType="begin"/>
      </w:r>
      <w:r w:rsidRPr="00E636B6">
        <w:rPr>
          <w:rFonts w:ascii="Times New Roman" w:eastAsia="Times New Roman" w:hAnsi="Times New Roman" w:cs="Times New Roman"/>
          <w:iCs/>
          <w:sz w:val="24"/>
          <w:szCs w:val="18"/>
        </w:rPr>
        <w:instrText xml:space="preserve"> </w:instrText>
      </w:r>
      <w:r w:rsidRPr="00E636B6">
        <w:rPr>
          <w:rFonts w:ascii="Times New Roman" w:eastAsia="Times New Roman" w:hAnsi="Times New Roman" w:cs="Times New Roman"/>
          <w:iCs/>
          <w:sz w:val="24"/>
          <w:szCs w:val="18"/>
          <w:lang w:val="en-US"/>
        </w:rPr>
        <w:instrText>SEQ</w:instrText>
      </w:r>
      <w:r w:rsidRPr="00E636B6">
        <w:rPr>
          <w:rFonts w:ascii="Times New Roman" w:eastAsia="Times New Roman" w:hAnsi="Times New Roman" w:cs="Times New Roman"/>
          <w:iCs/>
          <w:sz w:val="24"/>
          <w:szCs w:val="18"/>
        </w:rPr>
        <w:instrText xml:space="preserve"> ( \* </w:instrText>
      </w:r>
      <w:r w:rsidRPr="00E636B6">
        <w:rPr>
          <w:rFonts w:ascii="Times New Roman" w:eastAsia="Times New Roman" w:hAnsi="Times New Roman" w:cs="Times New Roman"/>
          <w:iCs/>
          <w:sz w:val="24"/>
          <w:szCs w:val="18"/>
          <w:lang w:val="en-US"/>
        </w:rPr>
        <w:instrText>ARABIC</w:instrText>
      </w:r>
      <w:r w:rsidRPr="00E636B6">
        <w:rPr>
          <w:rFonts w:ascii="Times New Roman" w:eastAsia="Times New Roman" w:hAnsi="Times New Roman" w:cs="Times New Roman"/>
          <w:iCs/>
          <w:sz w:val="24"/>
          <w:szCs w:val="18"/>
        </w:rPr>
        <w:instrText xml:space="preserve"> </w:instrText>
      </w:r>
      <w:r w:rsidRPr="00E636B6">
        <w:rPr>
          <w:rFonts w:ascii="Times New Roman" w:eastAsia="Times New Roman" w:hAnsi="Times New Roman" w:cs="Times New Roman"/>
          <w:iCs/>
          <w:sz w:val="24"/>
          <w:szCs w:val="18"/>
          <w:lang w:val="en-US"/>
        </w:rPr>
        <w:fldChar w:fldCharType="separate"/>
      </w:r>
      <w:r w:rsidR="00B3287B">
        <w:rPr>
          <w:rFonts w:ascii="Times New Roman" w:eastAsia="Times New Roman" w:hAnsi="Times New Roman" w:cs="Times New Roman"/>
          <w:iCs/>
          <w:noProof/>
          <w:sz w:val="24"/>
          <w:szCs w:val="18"/>
          <w:lang w:val="en-US"/>
        </w:rPr>
        <w:t>1</w:t>
      </w:r>
      <w:r w:rsidRPr="00E636B6">
        <w:rPr>
          <w:rFonts w:ascii="Times New Roman" w:eastAsia="Times New Roman" w:hAnsi="Times New Roman" w:cs="Times New Roman"/>
          <w:iCs/>
          <w:sz w:val="24"/>
          <w:szCs w:val="18"/>
          <w:lang w:val="en-US"/>
        </w:rPr>
        <w:fldChar w:fldCharType="end"/>
      </w:r>
      <w:r w:rsidRPr="00E636B6">
        <w:rPr>
          <w:rFonts w:ascii="Times New Roman" w:eastAsia="Times New Roman" w:hAnsi="Times New Roman" w:cs="Times New Roman"/>
          <w:iCs/>
          <w:sz w:val="24"/>
          <w:szCs w:val="18"/>
        </w:rPr>
        <w:t>)</w:t>
      </w:r>
    </w:p>
    <w:p w:rsidR="008D285B" w:rsidRPr="008D285B" w:rsidRDefault="008D285B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</w:t>
      </w:r>
      <w:r w:rsidR="005146D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pt</w:t>
      </w:r>
      <w:proofErr w:type="spellEnd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)</w:t>
      </w:r>
    </w:p>
    <w:p w:rsidR="008D285B" w:rsidRDefault="005146DB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Заключение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r w:rsidRPr="005146D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(12 </w:t>
      </w:r>
      <w:proofErr w:type="spellStart"/>
      <w:r w:rsidRPr="005146D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pt</w:t>
      </w:r>
      <w:proofErr w:type="spellEnd"/>
      <w:r w:rsidRPr="005146D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, Bold, </w:t>
      </w:r>
      <w:r w:rsidR="00B5696F" w:rsidRPr="00B569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Centered</w:t>
      </w:r>
      <w:r w:rsidRPr="005146D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)</w:t>
      </w:r>
    </w:p>
    <w:p w:rsidR="00391FDA" w:rsidRPr="008D285B" w:rsidRDefault="00391FDA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pt</w:t>
      </w:r>
      <w:proofErr w:type="spellEnd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)</w:t>
      </w:r>
    </w:p>
    <w:p w:rsidR="008D285B" w:rsidRPr="008D285B" w:rsidRDefault="005146DB" w:rsidP="00CA7152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В заключението се обобщават </w:t>
      </w:r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(12 </w:t>
      </w:r>
      <w:proofErr w:type="spellStart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>pt</w:t>
      </w:r>
      <w:proofErr w:type="spellEnd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>Normal</w:t>
      </w:r>
      <w:proofErr w:type="spellEnd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>Justified</w:t>
      </w:r>
      <w:proofErr w:type="spellEnd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>First</w:t>
      </w:r>
      <w:proofErr w:type="spellEnd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>line</w:t>
      </w:r>
      <w:proofErr w:type="spellEnd"/>
      <w:r w:rsidR="00E636B6" w:rsidRP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>: 12 mm)</w:t>
      </w:r>
      <w:r w:rsidR="00E636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основните изводи от направеното изследване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Може да се определят насоки за бъдещи изследвания.</w:t>
      </w:r>
      <w:r w:rsidR="008D285B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</w:p>
    <w:p w:rsidR="008D285B" w:rsidRPr="008D285B" w:rsidRDefault="004F53E9" w:rsidP="00CA7152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Списъкът с цитираните източници се изготвя със следните характеристики: </w:t>
      </w:r>
      <w:r w:rsidRPr="004F53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 </w:t>
      </w:r>
      <w:proofErr w:type="spellStart"/>
      <w:r w:rsidRPr="004F53E9">
        <w:rPr>
          <w:rFonts w:ascii="Times New Roman" w:eastAsia="Times New Roman" w:hAnsi="Times New Roman" w:cs="Times New Roman"/>
          <w:sz w:val="24"/>
          <w:szCs w:val="24"/>
          <w:lang w:eastAsia="hr-HR"/>
        </w:rPr>
        <w:t>pt</w:t>
      </w:r>
      <w:proofErr w:type="spellEnd"/>
      <w:r w:rsidRPr="004F53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4F53E9">
        <w:rPr>
          <w:rFonts w:ascii="Times New Roman" w:eastAsia="Times New Roman" w:hAnsi="Times New Roman" w:cs="Times New Roman"/>
          <w:sz w:val="24"/>
          <w:szCs w:val="24"/>
          <w:lang w:eastAsia="hr-HR"/>
        </w:rPr>
        <w:t>Normal</w:t>
      </w:r>
      <w:proofErr w:type="spellEnd"/>
      <w:r w:rsidRPr="004F53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4F53E9">
        <w:rPr>
          <w:rFonts w:ascii="Times New Roman" w:eastAsia="Times New Roman" w:hAnsi="Times New Roman" w:cs="Times New Roman"/>
          <w:sz w:val="24"/>
          <w:szCs w:val="24"/>
          <w:lang w:eastAsia="hr-HR"/>
        </w:rPr>
        <w:t>Justified</w:t>
      </w:r>
      <w:proofErr w:type="spellEnd"/>
      <w:r w:rsidRPr="004F53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без отстъпи на всеки нов ред, без номерация.  </w:t>
      </w:r>
      <w:r w:rsidR="00A251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Източниците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се подреждат по азбучен ред спрямо фамилията на автора или първия автор, като първо се изброяват източниците на кирилица. Публикации от един и същи автор/автори се подреждат по годините на публикуване.</w:t>
      </w:r>
      <w:r w:rsid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Всеки източник следва да бъде рефериран в текста.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D285B" w:rsidRPr="008D285B" w:rsidRDefault="008D285B" w:rsidP="0039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(1</w:t>
      </w:r>
      <w:r w:rsid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pt</w:t>
      </w:r>
      <w:proofErr w:type="spellEnd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)</w:t>
      </w:r>
    </w:p>
    <w:p w:rsidR="008D285B" w:rsidRPr="008D285B" w:rsidRDefault="004F53E9" w:rsidP="00391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Цитирани източници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(1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proofErr w:type="spellStart"/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pt</w:t>
      </w:r>
      <w:proofErr w:type="spellEnd"/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, </w:t>
      </w:r>
      <w:r w:rsidR="008E79EE" w:rsidRPr="008E79EE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Bold, Justified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)</w:t>
      </w:r>
    </w:p>
    <w:p w:rsidR="008D285B" w:rsidRPr="008D285B" w:rsidRDefault="008E79EE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Книга с един автор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:</w:t>
      </w:r>
    </w:p>
    <w:p w:rsidR="008E79EE" w:rsidRDefault="008E79EE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Раковска, М</w:t>
      </w:r>
      <w:r w:rsidRPr="008E79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(</w:t>
      </w:r>
      <w:r w:rsidRPr="008E79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201</w:t>
      </w:r>
      <w:r w:rsidR="001838C1">
        <w:rPr>
          <w:rFonts w:ascii="Times New Roman" w:eastAsia="Times New Roman" w:hAnsi="Times New Roman" w:cs="Times New Roman"/>
          <w:noProof/>
          <w:sz w:val="24"/>
          <w:szCs w:val="24"/>
          <w:lang w:val="en-US" w:eastAsia="hr-HR"/>
        </w:rPr>
        <w:t>3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Pr="008E79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1838C1" w:rsidRPr="001838C1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>Управление на веригата на доставките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Pr="008E79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София: Университетско издателство „Стопанство”</w:t>
      </w:r>
    </w:p>
    <w:p w:rsidR="008D285B" w:rsidRPr="008D285B" w:rsidRDefault="008E79EE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Книга с двама автори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:</w:t>
      </w:r>
    </w:p>
    <w:p w:rsidR="00436AA6" w:rsidRDefault="00E343F5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343F5">
        <w:rPr>
          <w:rFonts w:ascii="Times New Roman" w:eastAsia="Times New Roman" w:hAnsi="Times New Roman" w:cs="Times New Roman"/>
          <w:sz w:val="24"/>
          <w:szCs w:val="24"/>
          <w:lang w:eastAsia="hr-HR"/>
        </w:rPr>
        <w:t>Monczka</w:t>
      </w:r>
      <w:proofErr w:type="spellEnd"/>
      <w:r w:rsidRPr="00E343F5">
        <w:rPr>
          <w:rFonts w:ascii="Times New Roman" w:eastAsia="Times New Roman" w:hAnsi="Times New Roman" w:cs="Times New Roman"/>
          <w:sz w:val="24"/>
          <w:szCs w:val="24"/>
          <w:lang w:eastAsia="hr-HR"/>
        </w:rPr>
        <w:t>, R.M.</w:t>
      </w:r>
      <w:r w:rsidR="00436AA6" w:rsidRPr="00436A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6AA6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&amp;</w:t>
      </w:r>
      <w:r w:rsidR="00436AA6" w:rsidRPr="00436A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343F5">
        <w:rPr>
          <w:rFonts w:ascii="Times New Roman" w:eastAsia="Times New Roman" w:hAnsi="Times New Roman" w:cs="Times New Roman"/>
          <w:sz w:val="24"/>
          <w:szCs w:val="24"/>
          <w:lang w:eastAsia="hr-HR"/>
        </w:rPr>
        <w:t>Handfield</w:t>
      </w:r>
      <w:proofErr w:type="spellEnd"/>
      <w:r w:rsidRPr="00E343F5">
        <w:rPr>
          <w:rFonts w:ascii="Times New Roman" w:eastAsia="Times New Roman" w:hAnsi="Times New Roman" w:cs="Times New Roman"/>
          <w:sz w:val="24"/>
          <w:szCs w:val="24"/>
          <w:lang w:eastAsia="hr-HR"/>
        </w:rPr>
        <w:t>, R.B.</w:t>
      </w:r>
      <w:r w:rsidR="00436A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436AA6" w:rsidRPr="00436AA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15</w:t>
      </w:r>
      <w:r w:rsidR="00436AA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36AA6" w:rsidRPr="00436A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343F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Purchasing</w:t>
      </w:r>
      <w:proofErr w:type="spellEnd"/>
      <w:r w:rsidRPr="00E343F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E343F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and</w:t>
      </w:r>
      <w:proofErr w:type="spellEnd"/>
      <w:r w:rsidRPr="00E343F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Supply </w:t>
      </w:r>
      <w:proofErr w:type="spellStart"/>
      <w:r w:rsidRPr="00E343F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Chain</w:t>
      </w:r>
      <w:proofErr w:type="spellEnd"/>
      <w:r w:rsidRPr="00E343F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E343F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Management</w:t>
      </w:r>
      <w:proofErr w:type="spellEnd"/>
      <w:r w:rsidR="00436AA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36AA6" w:rsidRPr="00436A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343F5">
        <w:rPr>
          <w:rFonts w:ascii="Times New Roman" w:eastAsia="Times New Roman" w:hAnsi="Times New Roman" w:cs="Times New Roman"/>
          <w:sz w:val="24"/>
          <w:szCs w:val="24"/>
          <w:lang w:eastAsia="hr-HR"/>
        </w:rPr>
        <w:t>Cengage</w:t>
      </w:r>
      <w:proofErr w:type="spellEnd"/>
      <w:r w:rsidRPr="00E34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343F5">
        <w:rPr>
          <w:rFonts w:ascii="Times New Roman" w:eastAsia="Times New Roman" w:hAnsi="Times New Roman" w:cs="Times New Roman"/>
          <w:sz w:val="24"/>
          <w:szCs w:val="24"/>
          <w:lang w:eastAsia="hr-HR"/>
        </w:rPr>
        <w:t>Learning</w:t>
      </w:r>
      <w:proofErr w:type="spellEnd"/>
      <w:r w:rsidR="00436A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D285B" w:rsidRPr="008D285B" w:rsidRDefault="00436AA6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Книга с повече от двама автори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:</w:t>
      </w:r>
    </w:p>
    <w:p w:rsidR="008E79EE" w:rsidRDefault="008E79EE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>Coyle</w:t>
      </w:r>
      <w:proofErr w:type="spellEnd"/>
      <w:r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J., </w:t>
      </w:r>
      <w:proofErr w:type="spellStart"/>
      <w:r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>Langley</w:t>
      </w:r>
      <w:proofErr w:type="spellEnd"/>
      <w:r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C. J., </w:t>
      </w:r>
      <w:proofErr w:type="spellStart"/>
      <w:r w:rsidR="00E343F5">
        <w:rPr>
          <w:rFonts w:ascii="Times New Roman" w:eastAsia="Times New Roman" w:hAnsi="Times New Roman" w:cs="Times New Roman"/>
          <w:sz w:val="24"/>
          <w:szCs w:val="24"/>
          <w:lang w:eastAsia="hr-HR"/>
        </w:rPr>
        <w:t>Gibson</w:t>
      </w:r>
      <w:proofErr w:type="spellEnd"/>
      <w:r w:rsidR="00E343F5">
        <w:rPr>
          <w:rFonts w:ascii="Times New Roman" w:eastAsia="Times New Roman" w:hAnsi="Times New Roman" w:cs="Times New Roman"/>
          <w:sz w:val="24"/>
          <w:szCs w:val="24"/>
          <w:lang w:eastAsia="hr-HR"/>
        </w:rPr>
        <w:t>, B.</w:t>
      </w:r>
      <w:r w:rsidR="00E343F5"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6AA6"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&amp;</w:t>
      </w:r>
      <w:r w:rsidR="00436A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343F5"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>Novack</w:t>
      </w:r>
      <w:proofErr w:type="spellEnd"/>
      <w:r w:rsidR="00E343F5"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>, R.</w:t>
      </w:r>
      <w:r w:rsidR="00E34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6AA6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>201</w:t>
      </w:r>
      <w:r w:rsidR="00E343F5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6</w:t>
      </w:r>
      <w:r w:rsidR="00436AA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436AA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Supply </w:t>
      </w:r>
      <w:proofErr w:type="spellStart"/>
      <w:r w:rsidRPr="00436AA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Chain</w:t>
      </w:r>
      <w:proofErr w:type="spellEnd"/>
      <w:r w:rsidRPr="00436AA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436AA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Management</w:t>
      </w:r>
      <w:proofErr w:type="spellEnd"/>
      <w:r w:rsidRPr="00436AA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: a Logistics </w:t>
      </w:r>
      <w:proofErr w:type="spellStart"/>
      <w:r w:rsidRPr="00436AA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Perspective</w:t>
      </w:r>
      <w:proofErr w:type="spellEnd"/>
      <w:r w:rsidR="00436AA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</w:t>
      </w:r>
      <w:r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>Cengage</w:t>
      </w:r>
      <w:proofErr w:type="spellEnd"/>
      <w:r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>Learning</w:t>
      </w:r>
      <w:proofErr w:type="spellEnd"/>
      <w:r w:rsidRPr="008E79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D285B" w:rsidRPr="008D285B" w:rsidRDefault="00436AA6" w:rsidP="00CA7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Статия от списание</w:t>
      </w:r>
      <w:r w:rsidR="008D285B" w:rsidRPr="008D285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: </w:t>
      </w:r>
    </w:p>
    <w:p w:rsidR="00436AA6" w:rsidRDefault="00436AA6" w:rsidP="00CA715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6AA6">
        <w:rPr>
          <w:rFonts w:ascii="Times New Roman" w:eastAsia="Calibri" w:hAnsi="Times New Roman" w:cs="Times New Roman"/>
          <w:sz w:val="24"/>
          <w:szCs w:val="24"/>
        </w:rPr>
        <w:t>Knoppen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, D. </w:t>
      </w:r>
      <w:r w:rsidRPr="008D285B">
        <w:rPr>
          <w:rFonts w:ascii="Times New Roman" w:eastAsia="Calibri" w:hAnsi="Times New Roman" w:cs="Times New Roman"/>
          <w:sz w:val="24"/>
          <w:szCs w:val="24"/>
          <w:lang w:val="en-US"/>
        </w:rPr>
        <w:t>&amp;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Saenz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M.J. (</w:t>
      </w:r>
      <w:r w:rsidRPr="00436AA6">
        <w:rPr>
          <w:rFonts w:ascii="Times New Roman" w:eastAsia="Calibri" w:hAnsi="Times New Roman" w:cs="Times New Roman"/>
          <w:sz w:val="24"/>
          <w:szCs w:val="24"/>
        </w:rPr>
        <w:t>2015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36AA6">
        <w:rPr>
          <w:rFonts w:ascii="Times New Roman" w:eastAsia="Calibri" w:hAnsi="Times New Roman" w:cs="Times New Roman"/>
          <w:sz w:val="24"/>
          <w:szCs w:val="24"/>
        </w:rPr>
        <w:t>Purchasing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36AA6">
        <w:rPr>
          <w:rFonts w:ascii="Times New Roman" w:eastAsia="Calibri" w:hAnsi="Times New Roman" w:cs="Times New Roman"/>
          <w:sz w:val="24"/>
          <w:szCs w:val="24"/>
        </w:rPr>
        <w:t>Can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6AA6">
        <w:rPr>
          <w:rFonts w:ascii="Times New Roman" w:eastAsia="Calibri" w:hAnsi="Times New Roman" w:cs="Times New Roman"/>
          <w:sz w:val="24"/>
          <w:szCs w:val="24"/>
        </w:rPr>
        <w:t>we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6AA6">
        <w:rPr>
          <w:rFonts w:ascii="Times New Roman" w:eastAsia="Calibri" w:hAnsi="Times New Roman" w:cs="Times New Roman"/>
          <w:sz w:val="24"/>
          <w:szCs w:val="24"/>
        </w:rPr>
        <w:t>bridge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6AA6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6AA6">
        <w:rPr>
          <w:rFonts w:ascii="Times New Roman" w:eastAsia="Calibri" w:hAnsi="Times New Roman" w:cs="Times New Roman"/>
          <w:sz w:val="24"/>
          <w:szCs w:val="24"/>
        </w:rPr>
        <w:t>gap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6AA6">
        <w:rPr>
          <w:rFonts w:ascii="Times New Roman" w:eastAsia="Calibri" w:hAnsi="Times New Roman" w:cs="Times New Roman"/>
          <w:sz w:val="24"/>
          <w:szCs w:val="24"/>
        </w:rPr>
        <w:t>between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6AA6">
        <w:rPr>
          <w:rFonts w:ascii="Times New Roman" w:eastAsia="Calibri" w:hAnsi="Times New Roman" w:cs="Times New Roman"/>
          <w:sz w:val="24"/>
          <w:szCs w:val="24"/>
        </w:rPr>
        <w:t>strategy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6AA6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6AA6">
        <w:rPr>
          <w:rFonts w:ascii="Times New Roman" w:eastAsia="Calibri" w:hAnsi="Times New Roman" w:cs="Times New Roman"/>
          <w:sz w:val="24"/>
          <w:szCs w:val="24"/>
        </w:rPr>
        <w:t>daily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6AA6">
        <w:rPr>
          <w:rFonts w:ascii="Times New Roman" w:eastAsia="Calibri" w:hAnsi="Times New Roman" w:cs="Times New Roman"/>
          <w:sz w:val="24"/>
          <w:szCs w:val="24"/>
        </w:rPr>
        <w:t>reality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? </w:t>
      </w:r>
      <w:proofErr w:type="spellStart"/>
      <w:r w:rsidRPr="00436AA6">
        <w:rPr>
          <w:rFonts w:ascii="Times New Roman" w:eastAsia="Calibri" w:hAnsi="Times New Roman" w:cs="Times New Roman"/>
          <w:i/>
          <w:sz w:val="24"/>
          <w:szCs w:val="24"/>
        </w:rPr>
        <w:t>Business</w:t>
      </w:r>
      <w:proofErr w:type="spellEnd"/>
      <w:r w:rsidRPr="00436AA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36AA6">
        <w:rPr>
          <w:rFonts w:ascii="Times New Roman" w:eastAsia="Calibri" w:hAnsi="Times New Roman" w:cs="Times New Roman"/>
          <w:i/>
          <w:sz w:val="24"/>
          <w:szCs w:val="24"/>
        </w:rPr>
        <w:t>Horizons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 xml:space="preserve">,  58(1), </w:t>
      </w:r>
      <w:proofErr w:type="spellStart"/>
      <w:r w:rsidRPr="00436AA6">
        <w:rPr>
          <w:rFonts w:ascii="Times New Roman" w:eastAsia="Calibri" w:hAnsi="Times New Roman" w:cs="Times New Roman"/>
          <w:sz w:val="24"/>
          <w:szCs w:val="24"/>
        </w:rPr>
        <w:t>рp</w:t>
      </w:r>
      <w:proofErr w:type="spellEnd"/>
      <w:r w:rsidRPr="00436AA6">
        <w:rPr>
          <w:rFonts w:ascii="Times New Roman" w:eastAsia="Calibri" w:hAnsi="Times New Roman" w:cs="Times New Roman"/>
          <w:sz w:val="24"/>
          <w:szCs w:val="24"/>
        </w:rPr>
        <w:t>. 123—133.</w:t>
      </w:r>
    </w:p>
    <w:p w:rsidR="008D285B" w:rsidRPr="008D285B" w:rsidRDefault="00585270" w:rsidP="00CA715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Сборник с доклади от конференции</w:t>
      </w:r>
      <w:r w:rsidR="008D285B" w:rsidRPr="008D28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: </w:t>
      </w:r>
    </w:p>
    <w:p w:rsidR="00436AA6" w:rsidRDefault="00436AA6" w:rsidP="00CA715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2517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Alinaghian</w:t>
      </w:r>
      <w:proofErr w:type="spellEnd"/>
      <w:r w:rsidRPr="00A2517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L.S., </w:t>
      </w:r>
      <w:proofErr w:type="spellStart"/>
      <w:r w:rsidRPr="00A2517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Aghdasi</w:t>
      </w:r>
      <w:proofErr w:type="spellEnd"/>
      <w:r w:rsidRPr="00A2517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M. &amp; </w:t>
      </w:r>
      <w:proofErr w:type="spellStart"/>
      <w:r w:rsidRPr="00A2517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Srai</w:t>
      </w:r>
      <w:proofErr w:type="spellEnd"/>
      <w:r w:rsidRPr="00A2517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J.S. (2011). Developing a refined model for purchasing and supply system transformation: benefiting from organizational change theories in purchasing development models, </w:t>
      </w:r>
      <w:r w:rsidRPr="00A25172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20th Annual IPSERA Conference</w:t>
      </w:r>
      <w:r w:rsidRPr="00A2517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 Maastricht, pp</w:t>
      </w:r>
      <w:r w:rsidRPr="00436AA6">
        <w:rPr>
          <w:rFonts w:ascii="Times New Roman" w:eastAsia="Times New Roman" w:hAnsi="Times New Roman" w:cs="Times New Roman"/>
          <w:sz w:val="24"/>
          <w:szCs w:val="24"/>
          <w:lang w:eastAsia="hr-HR"/>
        </w:rPr>
        <w:t>. 1-17.</w:t>
      </w:r>
    </w:p>
    <w:p w:rsidR="008D285B" w:rsidRPr="008D285B" w:rsidRDefault="00585270" w:rsidP="00CA715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Глава от книга под редакция</w:t>
      </w:r>
      <w:r w:rsidR="008D285B" w:rsidRPr="008D28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: </w:t>
      </w:r>
    </w:p>
    <w:p w:rsidR="008D285B" w:rsidRPr="008D285B" w:rsidRDefault="008D285B" w:rsidP="00CA715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Thomas, R. (2010). </w:t>
      </w:r>
      <w:r w:rsidRPr="008D285B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Destination management organisations in Ireland.</w:t>
      </w:r>
      <w:r w:rsidRPr="008D285B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I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n Wing, P. and </w:t>
      </w:r>
      <w:proofErr w:type="spellStart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Cappello</w:t>
      </w:r>
      <w:proofErr w:type="spellEnd"/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 M. (Ed</w:t>
      </w:r>
      <w:r w:rsidRPr="008D285B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.).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Pr="008D285B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 xml:space="preserve">Tourism and competitiveness. </w:t>
      </w:r>
      <w:r w:rsidRPr="008D285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Bristol: Regent Publications, pp. 106-125. </w:t>
      </w:r>
    </w:p>
    <w:p w:rsidR="008D285B" w:rsidRPr="008D285B" w:rsidRDefault="00585270" w:rsidP="00CA715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Интернет сайт</w:t>
      </w:r>
      <w:r w:rsidR="008D285B" w:rsidRPr="008D28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>:</w:t>
      </w:r>
    </w:p>
    <w:p w:rsidR="00585270" w:rsidRPr="00585270" w:rsidRDefault="00585270" w:rsidP="00CA7152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</w:pP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Blackstone, J.H.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zh-CN"/>
        </w:rPr>
        <w:t>(Е</w:t>
      </w: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t>d.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zh-CN"/>
        </w:rPr>
        <w:t>)</w:t>
      </w: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zh-CN"/>
        </w:rPr>
        <w:t>(</w:t>
      </w: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t>2013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zh-CN"/>
        </w:rPr>
        <w:t>)</w:t>
      </w: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t>. APICS Dictionary. The 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t>ssential supply chain reference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zh-CN"/>
        </w:rPr>
        <w:t>,</w:t>
      </w: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</w:t>
      </w: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sym w:font="Symbol" w:char="F05B"/>
      </w: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t>pdf</w:t>
      </w: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sym w:font="Symbol" w:char="F05D"/>
      </w: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Chicago: APICS. Available at: &lt;http://www.feg.unesp.br/dpd/scm/claudemir/part3/Apics%20Dictionary.pdf&gt; </w:t>
      </w: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sym w:font="Symbol" w:char="F05B"/>
      </w: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t>Accessed 18 June 2015</w:t>
      </w: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sym w:font="Symbol" w:char="F05D"/>
      </w:r>
      <w:r w:rsidRPr="0058527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zh-CN"/>
        </w:rPr>
        <w:t>.</w:t>
      </w:r>
    </w:p>
    <w:p w:rsidR="00585270" w:rsidRDefault="00585270" w:rsidP="00391FD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zh-CN"/>
        </w:rPr>
      </w:pPr>
    </w:p>
    <w:p w:rsidR="00D0727F" w:rsidRPr="008D285B" w:rsidRDefault="00D0727F" w:rsidP="00391FDA">
      <w:pPr>
        <w:spacing w:after="0" w:line="240" w:lineRule="auto"/>
        <w:rPr>
          <w:sz w:val="24"/>
          <w:szCs w:val="24"/>
        </w:rPr>
      </w:pPr>
    </w:p>
    <w:sectPr w:rsidR="00D0727F" w:rsidRPr="008D285B" w:rsidSect="007E5ECB">
      <w:pgSz w:w="11907" w:h="16839" w:code="9"/>
      <w:pgMar w:top="147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4DA" w:rsidRDefault="009E44DA" w:rsidP="008D285B">
      <w:pPr>
        <w:spacing w:after="0" w:line="240" w:lineRule="auto"/>
      </w:pPr>
      <w:r>
        <w:separator/>
      </w:r>
    </w:p>
  </w:endnote>
  <w:endnote w:type="continuationSeparator" w:id="0">
    <w:p w:rsidR="009E44DA" w:rsidRDefault="009E44DA" w:rsidP="008D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4DA" w:rsidRDefault="009E44DA" w:rsidP="008D285B">
      <w:pPr>
        <w:spacing w:after="0" w:line="240" w:lineRule="auto"/>
      </w:pPr>
      <w:r>
        <w:separator/>
      </w:r>
    </w:p>
  </w:footnote>
  <w:footnote w:type="continuationSeparator" w:id="0">
    <w:p w:rsidR="009E44DA" w:rsidRDefault="009E44DA" w:rsidP="008D285B">
      <w:pPr>
        <w:spacing w:after="0" w:line="240" w:lineRule="auto"/>
      </w:pPr>
      <w:r>
        <w:continuationSeparator/>
      </w:r>
    </w:p>
  </w:footnote>
  <w:footnote w:id="1">
    <w:p w:rsidR="008D285B" w:rsidRPr="005B68D4" w:rsidRDefault="008D285B" w:rsidP="008D285B">
      <w:pPr>
        <w:pStyle w:val="FootnoteText"/>
        <w:rPr>
          <w:rFonts w:ascii="Times New Roman" w:hAnsi="Times New Roman"/>
          <w:lang w:val="hr-HR"/>
        </w:rPr>
      </w:pPr>
      <w:r w:rsidRPr="001F4882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1F4882">
        <w:rPr>
          <w:rFonts w:ascii="Times New Roman" w:hAnsi="Times New Roman"/>
          <w:sz w:val="16"/>
          <w:szCs w:val="16"/>
        </w:rPr>
        <w:t xml:space="preserve"> </w:t>
      </w:r>
      <w:r w:rsidR="00133BE6" w:rsidRPr="005B68D4">
        <w:rPr>
          <w:rFonts w:ascii="Times New Roman" w:hAnsi="Times New Roman"/>
        </w:rPr>
        <w:t>Пример за текст под линия</w:t>
      </w:r>
      <w:r w:rsidR="00133BE6" w:rsidRPr="005B68D4">
        <w:rPr>
          <w:rFonts w:ascii="Times New Roman" w:hAnsi="Times New Roman"/>
          <w:lang w:val="hr-HR"/>
        </w:rPr>
        <w:t xml:space="preserve"> (</w:t>
      </w:r>
      <w:r w:rsidR="00133BE6" w:rsidRPr="005B68D4">
        <w:rPr>
          <w:rFonts w:ascii="Times New Roman" w:hAnsi="Times New Roman"/>
        </w:rPr>
        <w:t>10</w:t>
      </w:r>
      <w:r w:rsidR="00366CC8" w:rsidRPr="005B68D4">
        <w:rPr>
          <w:rFonts w:ascii="Times New Roman" w:hAnsi="Times New Roman"/>
          <w:lang w:val="hr-HR"/>
        </w:rPr>
        <w:t xml:space="preserve"> pt, L</w:t>
      </w:r>
      <w:r w:rsidRPr="005B68D4">
        <w:rPr>
          <w:rFonts w:ascii="Times New Roman" w:hAnsi="Times New Roman"/>
          <w:lang w:val="hr-HR"/>
        </w:rPr>
        <w:t>eft alignment)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0413"/>
    <w:multiLevelType w:val="hybridMultilevel"/>
    <w:tmpl w:val="E58CE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6E"/>
    <w:rsid w:val="000678C3"/>
    <w:rsid w:val="00074603"/>
    <w:rsid w:val="000910A9"/>
    <w:rsid w:val="00133BE6"/>
    <w:rsid w:val="001838C1"/>
    <w:rsid w:val="00215E76"/>
    <w:rsid w:val="002B571F"/>
    <w:rsid w:val="002B5880"/>
    <w:rsid w:val="002F52E9"/>
    <w:rsid w:val="00340041"/>
    <w:rsid w:val="00366CC8"/>
    <w:rsid w:val="00390FF0"/>
    <w:rsid w:val="00391FDA"/>
    <w:rsid w:val="003A5957"/>
    <w:rsid w:val="003E7DE1"/>
    <w:rsid w:val="00436AA6"/>
    <w:rsid w:val="0046306A"/>
    <w:rsid w:val="00471787"/>
    <w:rsid w:val="004F53E9"/>
    <w:rsid w:val="005146DB"/>
    <w:rsid w:val="00585270"/>
    <w:rsid w:val="005B68D4"/>
    <w:rsid w:val="005C27FE"/>
    <w:rsid w:val="005F3C6E"/>
    <w:rsid w:val="0060756E"/>
    <w:rsid w:val="00650033"/>
    <w:rsid w:val="00676FEC"/>
    <w:rsid w:val="007610AF"/>
    <w:rsid w:val="00776D63"/>
    <w:rsid w:val="00786006"/>
    <w:rsid w:val="007B0E9B"/>
    <w:rsid w:val="007E5ECB"/>
    <w:rsid w:val="007F2731"/>
    <w:rsid w:val="008423CC"/>
    <w:rsid w:val="008D285B"/>
    <w:rsid w:val="008E79EE"/>
    <w:rsid w:val="008F24EE"/>
    <w:rsid w:val="00923691"/>
    <w:rsid w:val="00960BEE"/>
    <w:rsid w:val="0099126D"/>
    <w:rsid w:val="009D680D"/>
    <w:rsid w:val="009E3F42"/>
    <w:rsid w:val="009E44DA"/>
    <w:rsid w:val="00A25172"/>
    <w:rsid w:val="00AE3537"/>
    <w:rsid w:val="00AE7783"/>
    <w:rsid w:val="00B14512"/>
    <w:rsid w:val="00B3287B"/>
    <w:rsid w:val="00B5696F"/>
    <w:rsid w:val="00B756C6"/>
    <w:rsid w:val="00BA3328"/>
    <w:rsid w:val="00C3445F"/>
    <w:rsid w:val="00C60A4D"/>
    <w:rsid w:val="00C8435C"/>
    <w:rsid w:val="00CA7152"/>
    <w:rsid w:val="00CB3B2D"/>
    <w:rsid w:val="00D0727F"/>
    <w:rsid w:val="00DC3311"/>
    <w:rsid w:val="00E22A26"/>
    <w:rsid w:val="00E343F5"/>
    <w:rsid w:val="00E636B6"/>
    <w:rsid w:val="00E63AE5"/>
    <w:rsid w:val="00FB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EE32"/>
  <w15:docId w15:val="{2A26DCE4-65B5-45F3-A952-17C48C2A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D28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85B"/>
    <w:rPr>
      <w:sz w:val="20"/>
      <w:szCs w:val="20"/>
    </w:rPr>
  </w:style>
  <w:style w:type="character" w:styleId="FootnoteReference">
    <w:name w:val="footnote reference"/>
    <w:aliases w:val="Footnote symbol"/>
    <w:semiHidden/>
    <w:rsid w:val="008D28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E9D2-70A5-49E6-9775-EC695572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bg-pro</dc:creator>
  <cp:keywords/>
  <dc:description/>
  <cp:lastModifiedBy>Мирослав Стефанов</cp:lastModifiedBy>
  <cp:revision>17</cp:revision>
  <dcterms:created xsi:type="dcterms:W3CDTF">2023-07-07T08:16:00Z</dcterms:created>
  <dcterms:modified xsi:type="dcterms:W3CDTF">2025-05-26T10:14:00Z</dcterms:modified>
</cp:coreProperties>
</file>